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Health Assessment and Promotion.</w:t>
      </w: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Name.</w:t>
      </w: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Institution.</w:t>
      </w: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Date.</w:t>
      </w: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7A0C64" w:rsidRPr="00CF0C4F" w:rsidRDefault="007A0C64"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lastRenderedPageBreak/>
        <w:t>Health Assessment and Promotion.</w:t>
      </w:r>
    </w:p>
    <w:p w:rsidR="007A0C64" w:rsidRPr="00CF0C4F" w:rsidRDefault="007A0C64"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Introduction.</w:t>
      </w:r>
    </w:p>
    <w:p w:rsidR="00465D3E" w:rsidRPr="00465D3E" w:rsidRDefault="00465D3E" w:rsidP="00465D3E">
      <w:pPr>
        <w:spacing w:line="480" w:lineRule="auto"/>
        <w:ind w:firstLine="720"/>
        <w:rPr>
          <w:rFonts w:ascii="Times New Roman" w:hAnsi="Times New Roman" w:cs="Times New Roman"/>
          <w:sz w:val="24"/>
          <w:szCs w:val="24"/>
        </w:rPr>
      </w:pPr>
      <w:r w:rsidRPr="00465D3E">
        <w:rPr>
          <w:rFonts w:ascii="Times New Roman" w:hAnsi="Times New Roman" w:cs="Times New Roman"/>
          <w:sz w:val="24"/>
          <w:szCs w:val="24"/>
        </w:rPr>
        <w:t xml:space="preserve">In the contemporary world, it has grown significantly difficult to maintain a healthy life. This has continuously posed a challenge to healthcare practices in the modern world; a factor that demands additional and substantive research concerning health dynamics. In this setting, health assessment of a 70 years old person is deemed necessary for in-depth understanding (Agarwal et al., 2016). In essence, the project is likely to provide adequate knowledge about the patients’ health and to provide quality services to the patients and hence providing a basis for promoting health. In this setting, I conducted a comprehensive health history interview and a physical examination with Mr. Jonny.M; a 70 years old adult who was in a long-term care setting and was perceived to have a sustainable health history. </w:t>
      </w:r>
    </w:p>
    <w:p w:rsidR="00465D3E" w:rsidRPr="00465D3E" w:rsidRDefault="00465D3E" w:rsidP="00465D3E">
      <w:pPr>
        <w:spacing w:line="480" w:lineRule="auto"/>
        <w:ind w:firstLine="720"/>
        <w:rPr>
          <w:rFonts w:ascii="Times New Roman" w:hAnsi="Times New Roman" w:cs="Times New Roman"/>
          <w:sz w:val="24"/>
          <w:szCs w:val="24"/>
        </w:rPr>
      </w:pPr>
      <w:r w:rsidRPr="00465D3E">
        <w:rPr>
          <w:rFonts w:ascii="Times New Roman" w:hAnsi="Times New Roman" w:cs="Times New Roman"/>
          <w:sz w:val="24"/>
          <w:szCs w:val="24"/>
        </w:rPr>
        <w:t xml:space="preserve">The main rationale of completing the assessment was to have an in-depth understanding of the future health risks associated with the old populations by clearly presenting complete health information that was obtained through interviewing the patient who was considered a reliable source. The study also relied on both objective and subjective data acquired through health history and physical examination. The study mainly focused on individual patterns of health, diseases, symptoms as well as causes of death amid aged individual and the quality of life associated with the old populations. The health assessment data was then interpreted from the standpoint of a registered nurse, and three diagnostics priorities were identified which also laid the foundation for an appropriate intervention plan. </w:t>
      </w:r>
    </w:p>
    <w:p w:rsidR="00465D3E" w:rsidRPr="00465D3E" w:rsidRDefault="00465D3E" w:rsidP="00465D3E">
      <w:pPr>
        <w:spacing w:line="480" w:lineRule="auto"/>
        <w:ind w:firstLine="720"/>
        <w:jc w:val="center"/>
        <w:rPr>
          <w:rFonts w:ascii="Times New Roman" w:hAnsi="Times New Roman" w:cs="Times New Roman"/>
          <w:sz w:val="24"/>
          <w:szCs w:val="24"/>
        </w:rPr>
      </w:pPr>
      <w:r w:rsidRPr="00465D3E">
        <w:rPr>
          <w:rFonts w:ascii="Times New Roman" w:hAnsi="Times New Roman" w:cs="Times New Roman"/>
          <w:sz w:val="24"/>
          <w:szCs w:val="24"/>
        </w:rPr>
        <w:t>Subjective Data.</w:t>
      </w:r>
    </w:p>
    <w:p w:rsidR="00465D3E" w:rsidRPr="00465D3E" w:rsidRDefault="00465D3E" w:rsidP="00465D3E">
      <w:pPr>
        <w:spacing w:line="480" w:lineRule="auto"/>
        <w:ind w:firstLine="720"/>
        <w:rPr>
          <w:rFonts w:ascii="Times New Roman" w:hAnsi="Times New Roman" w:cs="Times New Roman"/>
          <w:sz w:val="24"/>
          <w:szCs w:val="24"/>
        </w:rPr>
      </w:pPr>
      <w:r w:rsidRPr="00465D3E">
        <w:rPr>
          <w:rFonts w:ascii="Times New Roman" w:hAnsi="Times New Roman" w:cs="Times New Roman"/>
          <w:sz w:val="24"/>
          <w:szCs w:val="24"/>
        </w:rPr>
        <w:lastRenderedPageBreak/>
        <w:t xml:space="preserve">Mr.  Jonny. M. is a 70 years old married white male who is currently in a long-term care setting. He has been unemployed for the last one year after having retired from his previous occupation where he worked as a teacher up to the age of 69 years. Mr. J. M. was born and raised in Buffalo, California into a family of Spanish descent and he has never been outside the United States. He currently lives in a two-bedroom apartment in the area of Buffalo, California and his primary language is English. He has a home helper who comes for five hours a day. Mr. Jonny. M. is a beneficiary of social security and Medicare, and he is supported by his able children. The patient is generally alert and active despite the feeling of chronic chest pain, anxiety, and dizziness that he has frequently been encountering in the last one year. Mr. Jonny had never had any serious illness when he was a child, nor does he depict signs of multiple illnesses. However, when he was three years old, he had suffered from severe chickenpox which disappeared after medical intervention. </w:t>
      </w:r>
    </w:p>
    <w:p w:rsidR="00465D3E" w:rsidRPr="00465D3E" w:rsidRDefault="00465D3E" w:rsidP="00465D3E">
      <w:pPr>
        <w:spacing w:line="480" w:lineRule="auto"/>
        <w:ind w:firstLine="720"/>
        <w:rPr>
          <w:rFonts w:ascii="Times New Roman" w:hAnsi="Times New Roman" w:cs="Times New Roman"/>
          <w:sz w:val="24"/>
          <w:szCs w:val="24"/>
        </w:rPr>
      </w:pPr>
      <w:r w:rsidRPr="00465D3E">
        <w:rPr>
          <w:rFonts w:ascii="Times New Roman" w:hAnsi="Times New Roman" w:cs="Times New Roman"/>
          <w:sz w:val="24"/>
          <w:szCs w:val="24"/>
        </w:rPr>
        <w:t xml:space="preserve">Mr. Jonny has never been involved in any major accident, and he has never had life-threatening injuries in his entire life. In addition to this, his mother succumbed at the age of 67 suffering from kidney failure; his father died while he was 56 years old in a fatal car accident. His elder son died four years ago of pneumonia and seizures. Also, he had a brother who died of prostate cancer. Mr. Jonny has three daughters who are healthy. In his family history, there are no cases of diabetes and hypertension.   </w:t>
      </w:r>
    </w:p>
    <w:p w:rsidR="00465D3E" w:rsidRPr="00465D3E" w:rsidRDefault="00465D3E" w:rsidP="00465D3E">
      <w:pPr>
        <w:spacing w:line="480" w:lineRule="auto"/>
        <w:ind w:firstLine="720"/>
        <w:rPr>
          <w:rFonts w:ascii="Times New Roman" w:hAnsi="Times New Roman" w:cs="Times New Roman"/>
          <w:sz w:val="24"/>
          <w:szCs w:val="24"/>
        </w:rPr>
      </w:pPr>
      <w:r w:rsidRPr="00465D3E">
        <w:rPr>
          <w:rFonts w:ascii="Times New Roman" w:hAnsi="Times New Roman" w:cs="Times New Roman"/>
          <w:sz w:val="24"/>
          <w:szCs w:val="24"/>
        </w:rPr>
        <w:t xml:space="preserve">Further, subjective data regarding drug complications were also harvested. As per the interview, Mr. Jonny has no known drug allergies. He had recently consumed some over the counter medications include occasional 400-600 mg dose ibuprofen for “aches and pains” melatonin for insomnia, a daily vitamin, and antacid heartburn. Mr. Jonny drinks alcohol socially in approximately two days a week.  He is also a former smoker of one pack of cigarettes in a day </w:t>
      </w:r>
      <w:r w:rsidRPr="00465D3E">
        <w:rPr>
          <w:rFonts w:ascii="Times New Roman" w:hAnsi="Times New Roman" w:cs="Times New Roman"/>
          <w:sz w:val="24"/>
          <w:szCs w:val="24"/>
        </w:rPr>
        <w:lastRenderedPageBreak/>
        <w:t>for about thirty-five years. Mr. Jonny had never used any street drugs. This subjective data played a core role in understanding the patient’s past life. I think it was also good to collect data on allergic reactions to drugs to avoid negative results during therapy. It also laid a foundation for conducting physical examination (Agarwal et al., 2016).</w:t>
      </w:r>
    </w:p>
    <w:p w:rsidR="00465D3E" w:rsidRPr="00465D3E" w:rsidRDefault="00465D3E" w:rsidP="00465D3E">
      <w:pPr>
        <w:spacing w:line="480" w:lineRule="auto"/>
        <w:ind w:firstLine="720"/>
        <w:jc w:val="center"/>
        <w:rPr>
          <w:rFonts w:ascii="Times New Roman" w:hAnsi="Times New Roman" w:cs="Times New Roman"/>
          <w:sz w:val="24"/>
          <w:szCs w:val="24"/>
        </w:rPr>
      </w:pPr>
      <w:r w:rsidRPr="00465D3E">
        <w:rPr>
          <w:rFonts w:ascii="Times New Roman" w:hAnsi="Times New Roman" w:cs="Times New Roman"/>
          <w:sz w:val="24"/>
          <w:szCs w:val="24"/>
        </w:rPr>
        <w:t>Objective Data.</w:t>
      </w:r>
    </w:p>
    <w:p w:rsidR="00870E75" w:rsidRDefault="00465D3E" w:rsidP="00465D3E">
      <w:pPr>
        <w:spacing w:line="480" w:lineRule="auto"/>
        <w:ind w:firstLine="720"/>
        <w:rPr>
          <w:rFonts w:ascii="Times New Roman" w:hAnsi="Times New Roman" w:cs="Times New Roman"/>
          <w:sz w:val="24"/>
          <w:szCs w:val="24"/>
        </w:rPr>
      </w:pPr>
      <w:r w:rsidRPr="00465D3E">
        <w:rPr>
          <w:rFonts w:ascii="Times New Roman" w:hAnsi="Times New Roman" w:cs="Times New Roman"/>
          <w:sz w:val="24"/>
          <w:szCs w:val="24"/>
        </w:rPr>
        <w:t xml:space="preserve">In addition to the patient’s reported data, the interview also posed a chance for collecting objective data concerning the patient’s physical health. in this setting, I went further into percussing, inspecting, palpating and auscultating the client during the physical exams. The most appropriate data gathered was that Mr. Jonny was very much aware of his physical health and he managed to see his physician on a yearly basis for a physical checkup and the last time was July 2017. He is currently scheduled for September 2018. While in his childhood, he never needed any corrective lenses. However, for the last ten years has needed corrective lenses for assisted reading. The physical health examination provided very effective data. </w:t>
      </w:r>
    </w:p>
    <w:p w:rsidR="00465D3E" w:rsidRPr="00465D3E" w:rsidRDefault="00465D3E" w:rsidP="00465D3E">
      <w:pPr>
        <w:spacing w:line="480" w:lineRule="auto"/>
        <w:ind w:firstLine="720"/>
        <w:rPr>
          <w:rFonts w:ascii="Times New Roman" w:hAnsi="Times New Roman" w:cs="Times New Roman"/>
          <w:sz w:val="24"/>
          <w:szCs w:val="24"/>
        </w:rPr>
      </w:pPr>
      <w:r w:rsidRPr="00465D3E">
        <w:rPr>
          <w:rFonts w:ascii="Times New Roman" w:hAnsi="Times New Roman" w:cs="Times New Roman"/>
          <w:sz w:val="24"/>
          <w:szCs w:val="24"/>
        </w:rPr>
        <w:t xml:space="preserve">Objectively, the old man has generally good health, with the absence of respiratory, urinary, cardiac, vascular, hematologic, or gastrointestinal problems. Mr. Jonny has no history of skin diseases; his skin is dry, pink, and has no bruises, rashes or lesions. His head is normocephalic and has no signs of baldness. Ears are functional and normal in alignment; no history of deafness, discharge or chronic infection. Pupils are reactive and very light; he had recovered cataract. Nose and sinus data was quite evident for the last three months that he has occasional nosebleeds; he also affirmed that he used to experience nosebleeds in his young age. The neck has no signs of pain, goiter, tender nodes and hence it has a full range of motion. Throat and mouth and healthy void of lesions; no sore throat, hoarseness, or bleeding gums. About his breathing system, his lungs are quite clear with the correct capillary refill and proper </w:t>
      </w:r>
      <w:r w:rsidRPr="00465D3E">
        <w:rPr>
          <w:rFonts w:ascii="Times New Roman" w:hAnsi="Times New Roman" w:cs="Times New Roman"/>
          <w:sz w:val="24"/>
          <w:szCs w:val="24"/>
        </w:rPr>
        <w:lastRenderedPageBreak/>
        <w:t>peripheral pulses. Heart rate is okay. His psychical status is normal with no cases of fatigue, weight loss, fever, and sweats. Over the physical examination, some risk factors were also detected that he had eminent cholesterol level. Mr. Jonny was diagnosed with anxiety associated dizziness, and he admits that the dizziness has become more prevalent and it could occur at any time. This makes him avoid some activities such as riding. The physical examination also emphasized the issues of diet, and it was found that Mr. Jonny is alert about his health by taking a balanced diet and that he is a fan of Chinese food. O</w:t>
      </w:r>
      <w:bookmarkStart w:id="0" w:name="_GoBack"/>
      <w:bookmarkEnd w:id="0"/>
      <w:r w:rsidRPr="00465D3E">
        <w:rPr>
          <w:rFonts w:ascii="Times New Roman" w:hAnsi="Times New Roman" w:cs="Times New Roman"/>
          <w:sz w:val="24"/>
          <w:szCs w:val="24"/>
        </w:rPr>
        <w:t>bjective data from the diets was essential for predicting cases of obesity, heart attack and other lifestyle diseases associated with the man.</w:t>
      </w:r>
    </w:p>
    <w:p w:rsidR="00465D3E" w:rsidRPr="00465D3E" w:rsidRDefault="00465D3E" w:rsidP="00870E75">
      <w:pPr>
        <w:spacing w:line="480" w:lineRule="auto"/>
        <w:ind w:firstLine="720"/>
        <w:jc w:val="center"/>
        <w:rPr>
          <w:rFonts w:ascii="Times New Roman" w:hAnsi="Times New Roman" w:cs="Times New Roman"/>
          <w:sz w:val="24"/>
          <w:szCs w:val="24"/>
        </w:rPr>
      </w:pPr>
      <w:r w:rsidRPr="00465D3E">
        <w:rPr>
          <w:rFonts w:ascii="Times New Roman" w:hAnsi="Times New Roman" w:cs="Times New Roman"/>
          <w:sz w:val="24"/>
          <w:szCs w:val="24"/>
        </w:rPr>
        <w:t>Assessment of findings.</w:t>
      </w:r>
    </w:p>
    <w:p w:rsidR="00465D3E" w:rsidRPr="00465D3E" w:rsidRDefault="00465D3E" w:rsidP="00465D3E">
      <w:pPr>
        <w:spacing w:line="480" w:lineRule="auto"/>
        <w:ind w:firstLine="720"/>
        <w:rPr>
          <w:rFonts w:ascii="Times New Roman" w:hAnsi="Times New Roman" w:cs="Times New Roman"/>
          <w:sz w:val="24"/>
          <w:szCs w:val="24"/>
        </w:rPr>
      </w:pPr>
      <w:r w:rsidRPr="00465D3E">
        <w:rPr>
          <w:rFonts w:ascii="Times New Roman" w:hAnsi="Times New Roman" w:cs="Times New Roman"/>
          <w:sz w:val="24"/>
          <w:szCs w:val="24"/>
        </w:rPr>
        <w:t xml:space="preserve">From the evaluation point of view, this 70 years old man had a thought inciting background. From the comprehensive assessment data, Mr. Jonny is very healthy and does not record any signs of chronic illnesses. No allergic reactions to therapeutic drugs. He is detected with heightening anxiety and anxiety related dizziness. Mr. Jonny is quite mindful of his health and often follows up with healthcare professionals as well as his physician, takes a balanced diet and administers his therapeutic drugs as indicated by the physician.  </w:t>
      </w:r>
    </w:p>
    <w:p w:rsidR="00465D3E" w:rsidRPr="00465D3E" w:rsidRDefault="00465D3E" w:rsidP="00465D3E">
      <w:pPr>
        <w:spacing w:line="480" w:lineRule="auto"/>
        <w:ind w:firstLine="720"/>
        <w:rPr>
          <w:rFonts w:ascii="Times New Roman" w:hAnsi="Times New Roman" w:cs="Times New Roman"/>
          <w:sz w:val="24"/>
          <w:szCs w:val="24"/>
        </w:rPr>
      </w:pPr>
      <w:r w:rsidRPr="00465D3E">
        <w:rPr>
          <w:rFonts w:ascii="Times New Roman" w:hAnsi="Times New Roman" w:cs="Times New Roman"/>
          <w:sz w:val="24"/>
          <w:szCs w:val="24"/>
        </w:rPr>
        <w:t>From a nursing perspective, three nursing diagnoses apply to Mr. Jonny in his current health status. There is an impression that the man has elevated anxiety that is facilitated by stress and whose main manifestation is dizziness and restlessness. The short-term goal for this diagnosis is to relieve the client from the risky suffering within one hour, while in the long run; it seeks to curb the prevalence of anxiety through eradication of insomnia and dizziness (Li et al., 2015). The other priority diagnosis is hypertension attributed that brings about disturbed sensory perception. Medication would be the best intervention which would relieve the patient from suffering while in the long run, the patient will have a healthy physical and psychosocial status.</w:t>
      </w:r>
    </w:p>
    <w:p w:rsidR="00465D3E" w:rsidRPr="00465D3E" w:rsidRDefault="00465D3E" w:rsidP="00465D3E">
      <w:pPr>
        <w:spacing w:line="480" w:lineRule="auto"/>
        <w:ind w:firstLine="720"/>
        <w:rPr>
          <w:rFonts w:ascii="Times New Roman" w:hAnsi="Times New Roman" w:cs="Times New Roman"/>
          <w:sz w:val="24"/>
          <w:szCs w:val="24"/>
        </w:rPr>
      </w:pPr>
      <w:r w:rsidRPr="00465D3E">
        <w:rPr>
          <w:rFonts w:ascii="Times New Roman" w:hAnsi="Times New Roman" w:cs="Times New Roman"/>
          <w:sz w:val="24"/>
          <w:szCs w:val="24"/>
        </w:rPr>
        <w:lastRenderedPageBreak/>
        <w:t xml:space="preserve"> The third priority diagnosis is the knowledge deficiency on how to manage his anxiety, dizziness, and insomnia. The short-term goal is to help the patient to understand the ideal cause of his health complications, while the long-term goal is to help the patient in controlling and maintaining his health as per his understanding to the causes of health challenges such as insomnia, anxiety, and seizures and how to seek for interventions if any of these risks become prevalent. These diagnoses were effective to help in identifying the most appropriate intervention that would help the client to achieve his normal state of wellness.</w:t>
      </w:r>
    </w:p>
    <w:p w:rsidR="00465D3E" w:rsidRPr="00465D3E" w:rsidRDefault="00465D3E" w:rsidP="00870E75">
      <w:pPr>
        <w:spacing w:line="480" w:lineRule="auto"/>
        <w:ind w:firstLine="720"/>
        <w:jc w:val="center"/>
        <w:rPr>
          <w:rFonts w:ascii="Times New Roman" w:hAnsi="Times New Roman" w:cs="Times New Roman"/>
          <w:sz w:val="24"/>
          <w:szCs w:val="24"/>
        </w:rPr>
      </w:pPr>
      <w:r w:rsidRPr="00465D3E">
        <w:rPr>
          <w:rFonts w:ascii="Times New Roman" w:hAnsi="Times New Roman" w:cs="Times New Roman"/>
          <w:sz w:val="24"/>
          <w:szCs w:val="24"/>
        </w:rPr>
        <w:t>Plan.</w:t>
      </w:r>
    </w:p>
    <w:p w:rsidR="00465D3E" w:rsidRPr="00465D3E" w:rsidRDefault="00465D3E" w:rsidP="00465D3E">
      <w:pPr>
        <w:spacing w:line="480" w:lineRule="auto"/>
        <w:ind w:firstLine="720"/>
        <w:rPr>
          <w:rFonts w:ascii="Times New Roman" w:hAnsi="Times New Roman" w:cs="Times New Roman"/>
          <w:sz w:val="24"/>
          <w:szCs w:val="24"/>
        </w:rPr>
      </w:pPr>
      <w:r w:rsidRPr="00465D3E">
        <w:rPr>
          <w:rFonts w:ascii="Times New Roman" w:hAnsi="Times New Roman" w:cs="Times New Roman"/>
          <w:sz w:val="24"/>
          <w:szCs w:val="24"/>
        </w:rPr>
        <w:t xml:space="preserve">In regards to my nursing knowledge, the following strategies are effective for healing the patient and uncovering the outlined long-term and short-term goals. Concerning elevated anxiety diagnosis, I would advise the patient to make careful administration of the prescribed drugs. I would strategize with the patient to venture in some serial physical exams in a long-term care setting. Self-acceptance would be another effective strategy for dealing with the situation (Levine et al., 2016). I would also urge the patient to see a physician in case of any side effects of the medications and also have a clear understanding of the signs and symptoms. </w:t>
      </w:r>
    </w:p>
    <w:p w:rsidR="00465D3E" w:rsidRPr="00465D3E" w:rsidRDefault="00465D3E" w:rsidP="00465D3E">
      <w:pPr>
        <w:spacing w:line="480" w:lineRule="auto"/>
        <w:ind w:firstLine="720"/>
        <w:rPr>
          <w:rFonts w:ascii="Times New Roman" w:hAnsi="Times New Roman" w:cs="Times New Roman"/>
          <w:sz w:val="24"/>
          <w:szCs w:val="24"/>
        </w:rPr>
      </w:pPr>
      <w:r w:rsidRPr="00465D3E">
        <w:rPr>
          <w:rFonts w:ascii="Times New Roman" w:hAnsi="Times New Roman" w:cs="Times New Roman"/>
          <w:sz w:val="24"/>
          <w:szCs w:val="24"/>
        </w:rPr>
        <w:t xml:space="preserve"> Concerning hypertension, the patient should strategize to take inhibitor therapy from experienced healthcare professionals continuously. According to Tanash et al., (2017), such a patient should monitor his blood pressure for immediate intervention. I would encourage him to accept his situation and take a continuous control of hypertension and avoid stressors as well. I would advise the patient to make follow-ups with his physician and other healthcare professionals regularly for further diagnosis. In regards to knowledge deficiency, I would tutor the patient on the potential symptoms and signs attached to his health defects for him to seek immediate intervention (Heller et al., 2014). I would encourage him to attend clinical training in </w:t>
      </w:r>
      <w:r w:rsidRPr="00465D3E">
        <w:rPr>
          <w:rFonts w:ascii="Times New Roman" w:hAnsi="Times New Roman" w:cs="Times New Roman"/>
          <w:sz w:val="24"/>
          <w:szCs w:val="24"/>
        </w:rPr>
        <w:lastRenderedPageBreak/>
        <w:t>home health care. I would educate him on the benefits of taking healthy diet in relation with his conditions. I would teach him how to perform physical exercise on his own. This would give a chance for alleviating knowledge deficiency by giving an adequate understanding of how to eat healthily, and the need for administering medications as prescribed.</w:t>
      </w:r>
    </w:p>
    <w:p w:rsidR="00465D3E" w:rsidRPr="00465D3E" w:rsidRDefault="00465D3E" w:rsidP="00465D3E">
      <w:pPr>
        <w:spacing w:line="480" w:lineRule="auto"/>
        <w:ind w:firstLine="720"/>
        <w:rPr>
          <w:rFonts w:ascii="Times New Roman" w:hAnsi="Times New Roman" w:cs="Times New Roman"/>
          <w:sz w:val="24"/>
          <w:szCs w:val="24"/>
        </w:rPr>
      </w:pPr>
      <w:r w:rsidRPr="00465D3E">
        <w:rPr>
          <w:rFonts w:ascii="Times New Roman" w:hAnsi="Times New Roman" w:cs="Times New Roman"/>
          <w:sz w:val="24"/>
          <w:szCs w:val="24"/>
        </w:rPr>
        <w:t>I support the above strategies in that they are client-centered and they show a growing intensity of collaboration amid the nurse and the patient. The nurse seems to have enthusiasm regarding the patient’s wellbeing (Heller et al., 2014). These initiatives are very categorical, and they provide a basis for practicing nursing knowledge to ensure improved patient care. More importantly, this impacts on the patient’s life by helping him to gain an understanding of the best practices for maintaining his health. The interventions will also require the active involvement of family members by educating them on how to offer the best of care to the 70 years old adult patient. Overall, these strategies will help the nurse to provide the most anticipated intervention to the patient’s needs; a factor which will allow for the acute accomplishment of the set nursing goals.</w:t>
      </w:r>
    </w:p>
    <w:p w:rsidR="00465D3E" w:rsidRPr="00465D3E" w:rsidRDefault="00465D3E" w:rsidP="00870E75">
      <w:pPr>
        <w:spacing w:line="480" w:lineRule="auto"/>
        <w:ind w:firstLine="720"/>
        <w:jc w:val="center"/>
        <w:rPr>
          <w:rFonts w:ascii="Times New Roman" w:hAnsi="Times New Roman" w:cs="Times New Roman"/>
          <w:sz w:val="24"/>
          <w:szCs w:val="24"/>
        </w:rPr>
      </w:pPr>
      <w:r w:rsidRPr="00465D3E">
        <w:rPr>
          <w:rFonts w:ascii="Times New Roman" w:hAnsi="Times New Roman" w:cs="Times New Roman"/>
          <w:sz w:val="24"/>
          <w:szCs w:val="24"/>
        </w:rPr>
        <w:t>Conclusion.</w:t>
      </w:r>
    </w:p>
    <w:p w:rsidR="00CF0C4F" w:rsidRDefault="00465D3E" w:rsidP="00465D3E">
      <w:pPr>
        <w:spacing w:line="480" w:lineRule="auto"/>
        <w:ind w:firstLine="720"/>
        <w:rPr>
          <w:rFonts w:ascii="Times New Roman" w:hAnsi="Times New Roman" w:cs="Times New Roman"/>
          <w:sz w:val="24"/>
          <w:szCs w:val="24"/>
        </w:rPr>
      </w:pPr>
      <w:r w:rsidRPr="00465D3E">
        <w:rPr>
          <w:rFonts w:ascii="Times New Roman" w:hAnsi="Times New Roman" w:cs="Times New Roman"/>
          <w:sz w:val="24"/>
          <w:szCs w:val="24"/>
        </w:rPr>
        <w:t xml:space="preserve">In reflection to the essay, it is quite evident that health assessment and physical examination are of great importance in comprehending and providing technical interventions for health promotion; and more importantly for the old populations. Interviewing Mr. Jonny gave a room for better health promotion. Subjective data helped in understanding Mr. Jonny's health history as per his report. This also posed a chance for understanding the current health state and predicting potential future risks in accordance with his lineage. Objective data, on the other hand, allowed for practical physical examination of the patient in a healthcare setting for accurate diagnosis as observed in the case. Mr. Jonny was diagnosed with three main health issues; that is, </w:t>
      </w:r>
      <w:r w:rsidRPr="00465D3E">
        <w:rPr>
          <w:rFonts w:ascii="Times New Roman" w:hAnsi="Times New Roman" w:cs="Times New Roman"/>
          <w:sz w:val="24"/>
          <w:szCs w:val="24"/>
        </w:rPr>
        <w:lastRenderedPageBreak/>
        <w:t>elevated anxiety, hypertension, and knowledge deficiency all which needed immediate intervention based on short-term and long-term goals. From my nursing perspective, medications and instant tutoring were the best interventions to help the patient at his old age. To this extent, it is with no doubt that every old individual needs to see physicians regularly for health assessment and health promotion; a factor which subscribes to healthy living.</w:t>
      </w:r>
    </w:p>
    <w:p w:rsidR="00870E75" w:rsidRDefault="00870E75" w:rsidP="00CF0C4F">
      <w:pPr>
        <w:spacing w:line="480" w:lineRule="auto"/>
        <w:jc w:val="center"/>
        <w:rPr>
          <w:rFonts w:ascii="Times New Roman" w:hAnsi="Times New Roman" w:cs="Times New Roman"/>
          <w:sz w:val="24"/>
          <w:szCs w:val="24"/>
        </w:rPr>
      </w:pPr>
    </w:p>
    <w:p w:rsidR="00870E75" w:rsidRDefault="00870E75" w:rsidP="00CF0C4F">
      <w:pPr>
        <w:spacing w:line="480" w:lineRule="auto"/>
        <w:jc w:val="center"/>
        <w:rPr>
          <w:rFonts w:ascii="Times New Roman" w:hAnsi="Times New Roman" w:cs="Times New Roman"/>
          <w:sz w:val="24"/>
          <w:szCs w:val="24"/>
        </w:rPr>
      </w:pPr>
    </w:p>
    <w:p w:rsidR="00870E75" w:rsidRDefault="00870E75" w:rsidP="00CF0C4F">
      <w:pPr>
        <w:spacing w:line="480" w:lineRule="auto"/>
        <w:jc w:val="center"/>
        <w:rPr>
          <w:rFonts w:ascii="Times New Roman" w:hAnsi="Times New Roman" w:cs="Times New Roman"/>
          <w:sz w:val="24"/>
          <w:szCs w:val="24"/>
        </w:rPr>
      </w:pPr>
    </w:p>
    <w:p w:rsidR="00870E75" w:rsidRDefault="00870E75" w:rsidP="00CF0C4F">
      <w:pPr>
        <w:spacing w:line="480" w:lineRule="auto"/>
        <w:jc w:val="center"/>
        <w:rPr>
          <w:rFonts w:ascii="Times New Roman" w:hAnsi="Times New Roman" w:cs="Times New Roman"/>
          <w:sz w:val="24"/>
          <w:szCs w:val="24"/>
        </w:rPr>
      </w:pPr>
    </w:p>
    <w:p w:rsidR="00870E75" w:rsidRDefault="00870E75" w:rsidP="00CF0C4F">
      <w:pPr>
        <w:spacing w:line="480" w:lineRule="auto"/>
        <w:jc w:val="center"/>
        <w:rPr>
          <w:rFonts w:ascii="Times New Roman" w:hAnsi="Times New Roman" w:cs="Times New Roman"/>
          <w:sz w:val="24"/>
          <w:szCs w:val="24"/>
        </w:rPr>
      </w:pPr>
    </w:p>
    <w:p w:rsidR="00870E75" w:rsidRDefault="00870E75" w:rsidP="00CF0C4F">
      <w:pPr>
        <w:spacing w:line="480" w:lineRule="auto"/>
        <w:jc w:val="center"/>
        <w:rPr>
          <w:rFonts w:ascii="Times New Roman" w:hAnsi="Times New Roman" w:cs="Times New Roman"/>
          <w:sz w:val="24"/>
          <w:szCs w:val="24"/>
        </w:rPr>
      </w:pPr>
    </w:p>
    <w:p w:rsidR="00870E75" w:rsidRDefault="00870E75" w:rsidP="00CF0C4F">
      <w:pPr>
        <w:spacing w:line="480" w:lineRule="auto"/>
        <w:jc w:val="center"/>
        <w:rPr>
          <w:rFonts w:ascii="Times New Roman" w:hAnsi="Times New Roman" w:cs="Times New Roman"/>
          <w:sz w:val="24"/>
          <w:szCs w:val="24"/>
        </w:rPr>
      </w:pPr>
    </w:p>
    <w:p w:rsidR="00870E75" w:rsidRDefault="00870E75" w:rsidP="00CF0C4F">
      <w:pPr>
        <w:spacing w:line="480" w:lineRule="auto"/>
        <w:jc w:val="center"/>
        <w:rPr>
          <w:rFonts w:ascii="Times New Roman" w:hAnsi="Times New Roman" w:cs="Times New Roman"/>
          <w:sz w:val="24"/>
          <w:szCs w:val="24"/>
        </w:rPr>
      </w:pPr>
    </w:p>
    <w:p w:rsidR="00870E75" w:rsidRDefault="00870E75" w:rsidP="00CF0C4F">
      <w:pPr>
        <w:spacing w:line="480" w:lineRule="auto"/>
        <w:jc w:val="center"/>
        <w:rPr>
          <w:rFonts w:ascii="Times New Roman" w:hAnsi="Times New Roman" w:cs="Times New Roman"/>
          <w:sz w:val="24"/>
          <w:szCs w:val="24"/>
        </w:rPr>
      </w:pPr>
    </w:p>
    <w:p w:rsidR="00870E75" w:rsidRDefault="00870E75" w:rsidP="00CF0C4F">
      <w:pPr>
        <w:spacing w:line="480" w:lineRule="auto"/>
        <w:jc w:val="center"/>
        <w:rPr>
          <w:rFonts w:ascii="Times New Roman" w:hAnsi="Times New Roman" w:cs="Times New Roman"/>
          <w:sz w:val="24"/>
          <w:szCs w:val="24"/>
        </w:rPr>
      </w:pPr>
    </w:p>
    <w:p w:rsidR="00870E75" w:rsidRDefault="00870E75" w:rsidP="00CF0C4F">
      <w:pPr>
        <w:spacing w:line="480" w:lineRule="auto"/>
        <w:jc w:val="center"/>
        <w:rPr>
          <w:rFonts w:ascii="Times New Roman" w:hAnsi="Times New Roman" w:cs="Times New Roman"/>
          <w:sz w:val="24"/>
          <w:szCs w:val="24"/>
        </w:rPr>
      </w:pPr>
    </w:p>
    <w:p w:rsidR="00870E75" w:rsidRDefault="00870E75" w:rsidP="00CF0C4F">
      <w:pPr>
        <w:spacing w:line="480" w:lineRule="auto"/>
        <w:jc w:val="center"/>
        <w:rPr>
          <w:rFonts w:ascii="Times New Roman" w:hAnsi="Times New Roman" w:cs="Times New Roman"/>
          <w:sz w:val="24"/>
          <w:szCs w:val="24"/>
        </w:rPr>
      </w:pPr>
    </w:p>
    <w:p w:rsidR="00870E75" w:rsidRDefault="00870E75" w:rsidP="00CF0C4F">
      <w:pPr>
        <w:spacing w:line="480" w:lineRule="auto"/>
        <w:jc w:val="center"/>
        <w:rPr>
          <w:rFonts w:ascii="Times New Roman" w:hAnsi="Times New Roman" w:cs="Times New Roman"/>
          <w:sz w:val="24"/>
          <w:szCs w:val="24"/>
        </w:rPr>
      </w:pPr>
    </w:p>
    <w:p w:rsidR="00870E75" w:rsidRDefault="00870E75" w:rsidP="00870E75">
      <w:pPr>
        <w:spacing w:line="480" w:lineRule="auto"/>
        <w:rPr>
          <w:rFonts w:ascii="Times New Roman" w:hAnsi="Times New Roman" w:cs="Times New Roman"/>
          <w:sz w:val="24"/>
          <w:szCs w:val="24"/>
        </w:rPr>
      </w:pPr>
    </w:p>
    <w:p w:rsidR="0032264E" w:rsidRPr="00CF0C4F" w:rsidRDefault="0032264E" w:rsidP="00CF0C4F">
      <w:pPr>
        <w:spacing w:line="480" w:lineRule="auto"/>
        <w:jc w:val="center"/>
        <w:rPr>
          <w:rFonts w:ascii="Times New Roman" w:hAnsi="Times New Roman" w:cs="Times New Roman"/>
          <w:sz w:val="24"/>
          <w:szCs w:val="24"/>
        </w:rPr>
      </w:pPr>
      <w:r w:rsidRPr="00CF0C4F">
        <w:rPr>
          <w:rFonts w:ascii="Times New Roman" w:hAnsi="Times New Roman" w:cs="Times New Roman"/>
          <w:sz w:val="24"/>
          <w:szCs w:val="24"/>
        </w:rPr>
        <w:lastRenderedPageBreak/>
        <w:t>References.</w:t>
      </w:r>
    </w:p>
    <w:p w:rsidR="007A0C64" w:rsidRPr="00CF0C4F" w:rsidRDefault="007A0C64" w:rsidP="00EC1254">
      <w:pPr>
        <w:spacing w:line="480" w:lineRule="auto"/>
        <w:ind w:left="720" w:hanging="720"/>
        <w:rPr>
          <w:rFonts w:ascii="Times New Roman" w:hAnsi="Times New Roman" w:cs="Times New Roman"/>
          <w:color w:val="222222"/>
          <w:sz w:val="24"/>
          <w:szCs w:val="24"/>
          <w:shd w:val="clear" w:color="auto" w:fill="FFFFFF"/>
        </w:rPr>
      </w:pPr>
      <w:r w:rsidRPr="00CF0C4F">
        <w:rPr>
          <w:rFonts w:ascii="Times New Roman" w:hAnsi="Times New Roman" w:cs="Times New Roman"/>
          <w:color w:val="222222"/>
          <w:sz w:val="24"/>
          <w:szCs w:val="24"/>
          <w:shd w:val="clear" w:color="auto" w:fill="FFFFFF"/>
        </w:rPr>
        <w:t>Agarwal, S., LeFevre, A. E., Lee, J., L’Engle, K., Mehl, G., Sinha, C., &amp;Labrique, A. (2016). Guidelines for reporting of health interventions using mobile phones: mobile health (mHealth) evidence reporting and assessment (mERA) checklist. </w:t>
      </w:r>
      <w:r w:rsidRPr="00CF0C4F">
        <w:rPr>
          <w:rFonts w:ascii="Times New Roman" w:hAnsi="Times New Roman" w:cs="Times New Roman"/>
          <w:i/>
          <w:iCs/>
          <w:color w:val="222222"/>
          <w:sz w:val="24"/>
          <w:szCs w:val="24"/>
          <w:shd w:val="clear" w:color="auto" w:fill="FFFFFF"/>
        </w:rPr>
        <w:t>Bmj</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352</w:t>
      </w:r>
      <w:r w:rsidRPr="00CF0C4F">
        <w:rPr>
          <w:rFonts w:ascii="Times New Roman" w:hAnsi="Times New Roman" w:cs="Times New Roman"/>
          <w:color w:val="222222"/>
          <w:sz w:val="24"/>
          <w:szCs w:val="24"/>
          <w:shd w:val="clear" w:color="auto" w:fill="FFFFFF"/>
        </w:rPr>
        <w:t>, i1174.</w:t>
      </w:r>
    </w:p>
    <w:p w:rsidR="007A0C64" w:rsidRPr="00CF0C4F" w:rsidRDefault="007A0C64" w:rsidP="00EC1254">
      <w:pPr>
        <w:spacing w:line="480" w:lineRule="auto"/>
        <w:ind w:left="720" w:hanging="720"/>
        <w:rPr>
          <w:rFonts w:ascii="Times New Roman" w:hAnsi="Times New Roman" w:cs="Times New Roman"/>
          <w:color w:val="222222"/>
          <w:sz w:val="24"/>
          <w:szCs w:val="24"/>
          <w:shd w:val="clear" w:color="auto" w:fill="FFFFFF"/>
        </w:rPr>
      </w:pPr>
      <w:r w:rsidRPr="00CF0C4F">
        <w:rPr>
          <w:rFonts w:ascii="Times New Roman" w:hAnsi="Times New Roman" w:cs="Times New Roman"/>
          <w:color w:val="222222"/>
          <w:sz w:val="24"/>
          <w:szCs w:val="24"/>
          <w:shd w:val="clear" w:color="auto" w:fill="FFFFFF"/>
        </w:rPr>
        <w:t>Heller, T., Fisher, D., Marks, B., &amp; Hsieh, K. (2014). Interventions to promote health: crossing networks of intellectual and developmental disabilities and aging. </w:t>
      </w:r>
      <w:r w:rsidRPr="00CF0C4F">
        <w:rPr>
          <w:rFonts w:ascii="Times New Roman" w:hAnsi="Times New Roman" w:cs="Times New Roman"/>
          <w:i/>
          <w:iCs/>
          <w:color w:val="222222"/>
          <w:sz w:val="24"/>
          <w:szCs w:val="24"/>
          <w:shd w:val="clear" w:color="auto" w:fill="FFFFFF"/>
        </w:rPr>
        <w:t>Disability and health journal</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7</w:t>
      </w:r>
      <w:r w:rsidRPr="00CF0C4F">
        <w:rPr>
          <w:rFonts w:ascii="Times New Roman" w:hAnsi="Times New Roman" w:cs="Times New Roman"/>
          <w:color w:val="222222"/>
          <w:sz w:val="24"/>
          <w:szCs w:val="24"/>
          <w:shd w:val="clear" w:color="auto" w:fill="FFFFFF"/>
        </w:rPr>
        <w:t>(1), S24-S32.</w:t>
      </w:r>
    </w:p>
    <w:p w:rsidR="007A0C64" w:rsidRPr="00CF0C4F" w:rsidRDefault="007A0C64" w:rsidP="00EC1254">
      <w:pPr>
        <w:spacing w:line="480" w:lineRule="auto"/>
        <w:ind w:left="720" w:hanging="720"/>
        <w:rPr>
          <w:rFonts w:ascii="Times New Roman" w:hAnsi="Times New Roman" w:cs="Times New Roman"/>
          <w:color w:val="222222"/>
          <w:sz w:val="24"/>
          <w:szCs w:val="24"/>
          <w:shd w:val="clear" w:color="auto" w:fill="FFFFFF"/>
        </w:rPr>
      </w:pPr>
      <w:r w:rsidRPr="00CF0C4F">
        <w:rPr>
          <w:rFonts w:ascii="Times New Roman" w:hAnsi="Times New Roman" w:cs="Times New Roman"/>
          <w:color w:val="222222"/>
          <w:sz w:val="24"/>
          <w:szCs w:val="24"/>
          <w:shd w:val="clear" w:color="auto" w:fill="FFFFFF"/>
        </w:rPr>
        <w:t>Levine, G. N., Bates, E. R., Blankenship, J. C., Bailey, S. R., Bittl, J. A., Cercek, B., ... &amp;Khot, U. N. (2016). 2015 ACC/AHA/SCAI focused update on primary percutaneous coronary intervention for patients with ST-elevation myocardial infarction: an update of the 2011 ACCF/AHA/SCAI guideline for percutaneous coronary intervention and the 2013 ACCF/AHA guideline for the management of ST-elevation myocardial infarction. </w:t>
      </w:r>
      <w:r w:rsidRPr="00CF0C4F">
        <w:rPr>
          <w:rFonts w:ascii="Times New Roman" w:hAnsi="Times New Roman" w:cs="Times New Roman"/>
          <w:i/>
          <w:iCs/>
          <w:color w:val="222222"/>
          <w:sz w:val="24"/>
          <w:szCs w:val="24"/>
          <w:shd w:val="clear" w:color="auto" w:fill="FFFFFF"/>
        </w:rPr>
        <w:t>Journal of the American College of Cardiology</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67</w:t>
      </w:r>
      <w:r w:rsidRPr="00CF0C4F">
        <w:rPr>
          <w:rFonts w:ascii="Times New Roman" w:hAnsi="Times New Roman" w:cs="Times New Roman"/>
          <w:color w:val="222222"/>
          <w:sz w:val="24"/>
          <w:szCs w:val="24"/>
          <w:shd w:val="clear" w:color="auto" w:fill="FFFFFF"/>
        </w:rPr>
        <w:t>(10), 1235-1250.</w:t>
      </w:r>
    </w:p>
    <w:p w:rsidR="007A0C64" w:rsidRPr="00CF0C4F" w:rsidRDefault="007A0C64" w:rsidP="00EC1254">
      <w:pPr>
        <w:spacing w:line="480" w:lineRule="auto"/>
        <w:ind w:left="720" w:hanging="720"/>
        <w:rPr>
          <w:rFonts w:ascii="Times New Roman" w:hAnsi="Times New Roman" w:cs="Times New Roman"/>
          <w:sz w:val="24"/>
          <w:szCs w:val="24"/>
        </w:rPr>
      </w:pPr>
      <w:r w:rsidRPr="00CF0C4F">
        <w:rPr>
          <w:rFonts w:ascii="Times New Roman" w:hAnsi="Times New Roman" w:cs="Times New Roman"/>
          <w:color w:val="222222"/>
          <w:sz w:val="24"/>
          <w:szCs w:val="24"/>
          <w:shd w:val="clear" w:color="auto" w:fill="FFFFFF"/>
        </w:rPr>
        <w:t>Li, S., Bruen, B. K., Lantz, P. M., &amp; Mendez, D. (2015). Peer reviewed: impact of health insurance expansions on nonelderly adults with hypertension. </w:t>
      </w:r>
      <w:r w:rsidRPr="00CF0C4F">
        <w:rPr>
          <w:rFonts w:ascii="Times New Roman" w:hAnsi="Times New Roman" w:cs="Times New Roman"/>
          <w:i/>
          <w:iCs/>
          <w:color w:val="222222"/>
          <w:sz w:val="24"/>
          <w:szCs w:val="24"/>
          <w:shd w:val="clear" w:color="auto" w:fill="FFFFFF"/>
        </w:rPr>
        <w:t>Preventing chronic disease</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12</w:t>
      </w:r>
      <w:r w:rsidRPr="00CF0C4F">
        <w:rPr>
          <w:rFonts w:ascii="Times New Roman" w:hAnsi="Times New Roman" w:cs="Times New Roman"/>
          <w:color w:val="222222"/>
          <w:sz w:val="24"/>
          <w:szCs w:val="24"/>
          <w:shd w:val="clear" w:color="auto" w:fill="FFFFFF"/>
        </w:rPr>
        <w:t>.</w:t>
      </w:r>
    </w:p>
    <w:p w:rsidR="007A0C64" w:rsidRPr="00CF0C4F" w:rsidRDefault="007A0C64" w:rsidP="00EC1254">
      <w:pPr>
        <w:spacing w:line="480" w:lineRule="auto"/>
        <w:ind w:left="720" w:hanging="720"/>
        <w:rPr>
          <w:rFonts w:ascii="Times New Roman" w:hAnsi="Times New Roman" w:cs="Times New Roman"/>
          <w:color w:val="222222"/>
          <w:sz w:val="24"/>
          <w:szCs w:val="24"/>
          <w:shd w:val="clear" w:color="auto" w:fill="FFFFFF"/>
        </w:rPr>
      </w:pPr>
      <w:r w:rsidRPr="00CF0C4F">
        <w:rPr>
          <w:rFonts w:ascii="Times New Roman" w:hAnsi="Times New Roman" w:cs="Times New Roman"/>
          <w:color w:val="222222"/>
          <w:sz w:val="24"/>
          <w:szCs w:val="24"/>
          <w:shd w:val="clear" w:color="auto" w:fill="FFFFFF"/>
        </w:rPr>
        <w:t>Mueller, N., Rojas-Rueda, D., Cole-Hunter, T., de Nazelle, A., Dons, E., Gerike, R., ... &amp;Nieuwenhuijsen, M. (2015). Health impact assessment of active transportation: a systematic review. </w:t>
      </w:r>
      <w:r w:rsidRPr="00CF0C4F">
        <w:rPr>
          <w:rFonts w:ascii="Times New Roman" w:hAnsi="Times New Roman" w:cs="Times New Roman"/>
          <w:i/>
          <w:iCs/>
          <w:color w:val="222222"/>
          <w:sz w:val="24"/>
          <w:szCs w:val="24"/>
          <w:shd w:val="clear" w:color="auto" w:fill="FFFFFF"/>
        </w:rPr>
        <w:t>Preventive medicine</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76</w:t>
      </w:r>
      <w:r w:rsidRPr="00CF0C4F">
        <w:rPr>
          <w:rFonts w:ascii="Times New Roman" w:hAnsi="Times New Roman" w:cs="Times New Roman"/>
          <w:color w:val="222222"/>
          <w:sz w:val="24"/>
          <w:szCs w:val="24"/>
          <w:shd w:val="clear" w:color="auto" w:fill="FFFFFF"/>
        </w:rPr>
        <w:t>, 103-114.</w:t>
      </w:r>
    </w:p>
    <w:p w:rsidR="007A0C64" w:rsidRPr="00CF0C4F" w:rsidRDefault="007A0C64" w:rsidP="00EC1254">
      <w:pPr>
        <w:spacing w:line="480" w:lineRule="auto"/>
        <w:ind w:left="720" w:hanging="720"/>
        <w:rPr>
          <w:rFonts w:ascii="Times New Roman" w:hAnsi="Times New Roman" w:cs="Times New Roman"/>
          <w:color w:val="222222"/>
          <w:sz w:val="24"/>
          <w:szCs w:val="24"/>
          <w:shd w:val="clear" w:color="auto" w:fill="FFFFFF"/>
        </w:rPr>
      </w:pPr>
      <w:r w:rsidRPr="00CF0C4F">
        <w:rPr>
          <w:rFonts w:ascii="Times New Roman" w:hAnsi="Times New Roman" w:cs="Times New Roman"/>
          <w:color w:val="222222"/>
          <w:sz w:val="24"/>
          <w:szCs w:val="24"/>
          <w:shd w:val="clear" w:color="auto" w:fill="FFFFFF"/>
        </w:rPr>
        <w:t xml:space="preserve">Tanash, M. A. I., Fitzsimons, D., Coates, V., &amp; Deaton, C. (2017). An evaluation of the effectiveness of self‐management interventions for people with type 2 diabetes after an </w:t>
      </w:r>
      <w:r w:rsidRPr="00CF0C4F">
        <w:rPr>
          <w:rFonts w:ascii="Times New Roman" w:hAnsi="Times New Roman" w:cs="Times New Roman"/>
          <w:color w:val="222222"/>
          <w:sz w:val="24"/>
          <w:szCs w:val="24"/>
          <w:shd w:val="clear" w:color="auto" w:fill="FFFFFF"/>
        </w:rPr>
        <w:lastRenderedPageBreak/>
        <w:t>acute coronary syndrome: a systematic review. </w:t>
      </w:r>
      <w:r w:rsidRPr="00CF0C4F">
        <w:rPr>
          <w:rFonts w:ascii="Times New Roman" w:hAnsi="Times New Roman" w:cs="Times New Roman"/>
          <w:i/>
          <w:iCs/>
          <w:color w:val="222222"/>
          <w:sz w:val="24"/>
          <w:szCs w:val="24"/>
          <w:shd w:val="clear" w:color="auto" w:fill="FFFFFF"/>
        </w:rPr>
        <w:t>Journal of clinical nursing</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26</w:t>
      </w:r>
      <w:r w:rsidRPr="00CF0C4F">
        <w:rPr>
          <w:rFonts w:ascii="Times New Roman" w:hAnsi="Times New Roman" w:cs="Times New Roman"/>
          <w:color w:val="222222"/>
          <w:sz w:val="24"/>
          <w:szCs w:val="24"/>
          <w:shd w:val="clear" w:color="auto" w:fill="FFFFFF"/>
        </w:rPr>
        <w:t>(11-12), 1458-1472.</w:t>
      </w:r>
    </w:p>
    <w:sectPr w:rsidR="007A0C64" w:rsidRPr="00CF0C4F" w:rsidSect="00CF0C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0EEE" w:rsidRDefault="00DA0EEE" w:rsidP="00E74896">
      <w:pPr>
        <w:spacing w:after="0" w:line="240" w:lineRule="auto"/>
      </w:pPr>
      <w:r>
        <w:separator/>
      </w:r>
    </w:p>
  </w:endnote>
  <w:endnote w:type="continuationSeparator" w:id="1">
    <w:p w:rsidR="00DA0EEE" w:rsidRDefault="00DA0EEE" w:rsidP="00E748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0EEE" w:rsidRDefault="00DA0EEE" w:rsidP="00E74896">
      <w:pPr>
        <w:spacing w:after="0" w:line="240" w:lineRule="auto"/>
      </w:pPr>
      <w:r>
        <w:separator/>
      </w:r>
    </w:p>
  </w:footnote>
  <w:footnote w:type="continuationSeparator" w:id="1">
    <w:p w:rsidR="00DA0EEE" w:rsidRDefault="00DA0EEE" w:rsidP="00E748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4F" w:rsidRPr="00CF0C4F" w:rsidRDefault="00CF0C4F">
    <w:pPr>
      <w:pStyle w:val="Header"/>
      <w:rPr>
        <w:rFonts w:ascii="Times New Roman" w:hAnsi="Times New Roman" w:cs="Times New Roman"/>
        <w:sz w:val="24"/>
        <w:szCs w:val="24"/>
      </w:rPr>
    </w:pPr>
    <w:r w:rsidRPr="00CF0C4F">
      <w:rPr>
        <w:rFonts w:ascii="Times New Roman" w:eastAsia="Times New Roman" w:hAnsi="Times New Roman" w:cs="Times New Roman"/>
        <w:bCs/>
        <w:sz w:val="24"/>
        <w:szCs w:val="24"/>
      </w:rPr>
      <w:t>HEALTH ASSESSMENT AND PROMOTION</w:t>
    </w:r>
    <w:r>
      <w:rPr>
        <w:rFonts w:ascii="Times New Roman" w:hAnsi="Times New Roman" w:cs="Times New Roman"/>
        <w:sz w:val="24"/>
        <w:szCs w:val="24"/>
      </w:rPr>
      <w:t>.</w:t>
    </w:r>
    <w:r w:rsidRPr="00CF0C4F">
      <w:rPr>
        <w:rFonts w:ascii="Times New Roman" w:hAnsi="Times New Roman" w:cs="Times New Roman"/>
        <w:sz w:val="24"/>
        <w:szCs w:val="24"/>
      </w:rPr>
      <w:tab/>
    </w:r>
    <w:sdt>
      <w:sdtPr>
        <w:rPr>
          <w:rFonts w:ascii="Times New Roman" w:hAnsi="Times New Roman" w:cs="Times New Roman"/>
          <w:sz w:val="24"/>
          <w:szCs w:val="24"/>
        </w:rPr>
        <w:id w:val="1038469186"/>
        <w:docPartObj>
          <w:docPartGallery w:val="Page Numbers (Top of Page)"/>
          <w:docPartUnique/>
        </w:docPartObj>
      </w:sdtPr>
      <w:sdtEndPr>
        <w:rPr>
          <w:noProof/>
        </w:rPr>
      </w:sdtEndPr>
      <w:sdtContent>
        <w:r w:rsidR="007432A3" w:rsidRPr="00CF0C4F">
          <w:rPr>
            <w:rFonts w:ascii="Times New Roman" w:hAnsi="Times New Roman" w:cs="Times New Roman"/>
            <w:sz w:val="24"/>
            <w:szCs w:val="24"/>
          </w:rPr>
          <w:fldChar w:fldCharType="begin"/>
        </w:r>
        <w:r w:rsidRPr="00CF0C4F">
          <w:rPr>
            <w:rFonts w:ascii="Times New Roman" w:hAnsi="Times New Roman" w:cs="Times New Roman"/>
            <w:sz w:val="24"/>
            <w:szCs w:val="24"/>
          </w:rPr>
          <w:instrText xml:space="preserve"> PAGE   \* MERGEFORMAT </w:instrText>
        </w:r>
        <w:r w:rsidR="007432A3" w:rsidRPr="00CF0C4F">
          <w:rPr>
            <w:rFonts w:ascii="Times New Roman" w:hAnsi="Times New Roman" w:cs="Times New Roman"/>
            <w:sz w:val="24"/>
            <w:szCs w:val="24"/>
          </w:rPr>
          <w:fldChar w:fldCharType="separate"/>
        </w:r>
        <w:r w:rsidR="00925767">
          <w:rPr>
            <w:rFonts w:ascii="Times New Roman" w:hAnsi="Times New Roman" w:cs="Times New Roman"/>
            <w:noProof/>
            <w:sz w:val="24"/>
            <w:szCs w:val="24"/>
          </w:rPr>
          <w:t>8</w:t>
        </w:r>
        <w:r w:rsidR="007432A3" w:rsidRPr="00CF0C4F">
          <w:rPr>
            <w:rFonts w:ascii="Times New Roman" w:hAnsi="Times New Roman" w:cs="Times New Roman"/>
            <w:noProof/>
            <w:sz w:val="24"/>
            <w:szCs w:val="24"/>
          </w:rPr>
          <w:fldChar w:fldCharType="end"/>
        </w:r>
      </w:sdtContent>
    </w:sdt>
  </w:p>
  <w:p w:rsidR="00CF0C4F" w:rsidRPr="00CF0C4F" w:rsidRDefault="00CF0C4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4F" w:rsidRPr="00CF0C4F" w:rsidRDefault="00CF0C4F" w:rsidP="00CF0C4F">
    <w:pPr>
      <w:rPr>
        <w:rFonts w:ascii="Times New Roman" w:hAnsi="Times New Roman" w:cs="Times New Roman"/>
        <w:sz w:val="24"/>
        <w:szCs w:val="24"/>
      </w:rPr>
    </w:pPr>
    <w:r w:rsidRPr="00CF0C4F">
      <w:rPr>
        <w:rFonts w:ascii="Times New Roman" w:hAnsi="Times New Roman" w:cs="Times New Roman"/>
        <w:sz w:val="24"/>
        <w:szCs w:val="24"/>
      </w:rPr>
      <w:t xml:space="preserve">Running Head: </w:t>
    </w:r>
    <w:r w:rsidRPr="00CF0C4F">
      <w:rPr>
        <w:rFonts w:ascii="Times New Roman" w:eastAsia="Times New Roman" w:hAnsi="Times New Roman" w:cs="Times New Roman"/>
        <w:bCs/>
        <w:sz w:val="24"/>
        <w:szCs w:val="24"/>
      </w:rPr>
      <w:t>HEALTH ASSESSMENT AND PROMOTION.</w:t>
    </w:r>
    <w:r w:rsidRPr="00CF0C4F">
      <w:rPr>
        <w:rFonts w:ascii="Times New Roman" w:eastAsia="Times New Roman" w:hAnsi="Times New Roman" w:cs="Times New Roman"/>
        <w:bCs/>
        <w:sz w:val="24"/>
        <w:szCs w:val="24"/>
      </w:rPr>
      <w:tab/>
    </w:r>
    <w:r w:rsidRPr="00CF0C4F">
      <w:rPr>
        <w:rFonts w:ascii="Times New Roman" w:eastAsia="Times New Roman" w:hAnsi="Times New Roman" w:cs="Times New Roman"/>
        <w:bCs/>
        <w:sz w:val="24"/>
        <w:szCs w:val="24"/>
      </w:rPr>
      <w:tab/>
    </w:r>
    <w:r w:rsidRPr="00CF0C4F">
      <w:rPr>
        <w:rFonts w:ascii="Times New Roman" w:eastAsia="Times New Roman" w:hAnsi="Times New Roman" w:cs="Times New Roman"/>
        <w:bCs/>
        <w:sz w:val="24"/>
        <w:szCs w:val="24"/>
      </w:rPr>
      <w:tab/>
    </w:r>
    <w:r w:rsidRPr="00CF0C4F">
      <w:rPr>
        <w:rFonts w:ascii="Times New Roman" w:eastAsia="Times New Roman" w:hAnsi="Times New Roman" w:cs="Times New Roman"/>
        <w:bCs/>
        <w:sz w:val="24"/>
        <w:szCs w:val="24"/>
      </w:rPr>
      <w:tab/>
    </w:r>
    <w:sdt>
      <w:sdtPr>
        <w:rPr>
          <w:rFonts w:ascii="Times New Roman" w:hAnsi="Times New Roman" w:cs="Times New Roman"/>
          <w:sz w:val="24"/>
          <w:szCs w:val="24"/>
        </w:rPr>
        <w:id w:val="698050489"/>
        <w:docPartObj>
          <w:docPartGallery w:val="Page Numbers (Top of Page)"/>
          <w:docPartUnique/>
        </w:docPartObj>
      </w:sdtPr>
      <w:sdtEndPr>
        <w:rPr>
          <w:noProof/>
        </w:rPr>
      </w:sdtEndPr>
      <w:sdtContent>
        <w:r w:rsidR="007432A3" w:rsidRPr="00CF0C4F">
          <w:rPr>
            <w:rFonts w:ascii="Times New Roman" w:hAnsi="Times New Roman" w:cs="Times New Roman"/>
            <w:sz w:val="24"/>
            <w:szCs w:val="24"/>
          </w:rPr>
          <w:fldChar w:fldCharType="begin"/>
        </w:r>
        <w:r w:rsidRPr="00CF0C4F">
          <w:rPr>
            <w:rFonts w:ascii="Times New Roman" w:hAnsi="Times New Roman" w:cs="Times New Roman"/>
            <w:sz w:val="24"/>
            <w:szCs w:val="24"/>
          </w:rPr>
          <w:instrText xml:space="preserve"> PAGE   \* MERGEFORMAT </w:instrText>
        </w:r>
        <w:r w:rsidR="007432A3" w:rsidRPr="00CF0C4F">
          <w:rPr>
            <w:rFonts w:ascii="Times New Roman" w:hAnsi="Times New Roman" w:cs="Times New Roman"/>
            <w:sz w:val="24"/>
            <w:szCs w:val="24"/>
          </w:rPr>
          <w:fldChar w:fldCharType="separate"/>
        </w:r>
        <w:r w:rsidR="00925767">
          <w:rPr>
            <w:rFonts w:ascii="Times New Roman" w:hAnsi="Times New Roman" w:cs="Times New Roman"/>
            <w:noProof/>
            <w:sz w:val="24"/>
            <w:szCs w:val="24"/>
          </w:rPr>
          <w:t>1</w:t>
        </w:r>
        <w:r w:rsidR="007432A3" w:rsidRPr="00CF0C4F">
          <w:rPr>
            <w:rFonts w:ascii="Times New Roman" w:hAnsi="Times New Roman" w:cs="Times New Roman"/>
            <w:noProof/>
            <w:sz w:val="24"/>
            <w:szCs w:val="24"/>
          </w:rPr>
          <w:fldChar w:fldCharType="end"/>
        </w:r>
      </w:sdtContent>
    </w:sdt>
  </w:p>
  <w:p w:rsidR="00CF0C4F" w:rsidRPr="00CF0C4F" w:rsidRDefault="00CF0C4F">
    <w:pPr>
      <w:pStyle w:val="Header"/>
      <w:rPr>
        <w:rFonts w:ascii="Times New Roman" w:hAnsi="Times New Roman" w:cs="Times New Roman"/>
        <w:sz w:val="24"/>
        <w:szCs w:val="24"/>
      </w:rPr>
    </w:pPr>
  </w:p>
  <w:p w:rsidR="00CF0C4F" w:rsidRDefault="00CF0C4F"/>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7D58AE"/>
    <w:multiLevelType w:val="multilevel"/>
    <w:tmpl w:val="89E22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41512"/>
    <w:rsid w:val="0006581B"/>
    <w:rsid w:val="000B2093"/>
    <w:rsid w:val="000E7E39"/>
    <w:rsid w:val="00112F75"/>
    <w:rsid w:val="001335A2"/>
    <w:rsid w:val="002279DA"/>
    <w:rsid w:val="0028027E"/>
    <w:rsid w:val="00314755"/>
    <w:rsid w:val="0032264E"/>
    <w:rsid w:val="0037542D"/>
    <w:rsid w:val="003972EF"/>
    <w:rsid w:val="00424808"/>
    <w:rsid w:val="00435163"/>
    <w:rsid w:val="00465D3E"/>
    <w:rsid w:val="004E69FB"/>
    <w:rsid w:val="00520195"/>
    <w:rsid w:val="00545E7D"/>
    <w:rsid w:val="00593B13"/>
    <w:rsid w:val="00593BD7"/>
    <w:rsid w:val="005A425B"/>
    <w:rsid w:val="005A71CF"/>
    <w:rsid w:val="005C14B1"/>
    <w:rsid w:val="005D04BA"/>
    <w:rsid w:val="005D2949"/>
    <w:rsid w:val="005E0328"/>
    <w:rsid w:val="00637CD9"/>
    <w:rsid w:val="006841E3"/>
    <w:rsid w:val="007202CD"/>
    <w:rsid w:val="007237F5"/>
    <w:rsid w:val="007301D4"/>
    <w:rsid w:val="0073610E"/>
    <w:rsid w:val="007432A3"/>
    <w:rsid w:val="00756611"/>
    <w:rsid w:val="00774366"/>
    <w:rsid w:val="007A0C64"/>
    <w:rsid w:val="007A1108"/>
    <w:rsid w:val="008129B8"/>
    <w:rsid w:val="00847709"/>
    <w:rsid w:val="008702C9"/>
    <w:rsid w:val="00870E75"/>
    <w:rsid w:val="008E58F3"/>
    <w:rsid w:val="00912A7D"/>
    <w:rsid w:val="00923484"/>
    <w:rsid w:val="009248A4"/>
    <w:rsid w:val="00925767"/>
    <w:rsid w:val="00941512"/>
    <w:rsid w:val="00972E49"/>
    <w:rsid w:val="00977CD8"/>
    <w:rsid w:val="009C4C83"/>
    <w:rsid w:val="00A17275"/>
    <w:rsid w:val="00A401B7"/>
    <w:rsid w:val="00A44CAC"/>
    <w:rsid w:val="00A61050"/>
    <w:rsid w:val="00AA0783"/>
    <w:rsid w:val="00AB3A7D"/>
    <w:rsid w:val="00BB2C86"/>
    <w:rsid w:val="00BE4E33"/>
    <w:rsid w:val="00C57901"/>
    <w:rsid w:val="00CF0C4F"/>
    <w:rsid w:val="00D0774C"/>
    <w:rsid w:val="00D07E1D"/>
    <w:rsid w:val="00D73BF3"/>
    <w:rsid w:val="00DA0EEE"/>
    <w:rsid w:val="00E74896"/>
    <w:rsid w:val="00EC1254"/>
    <w:rsid w:val="00EC5997"/>
    <w:rsid w:val="00F0316F"/>
    <w:rsid w:val="00F10945"/>
    <w:rsid w:val="00F62C64"/>
    <w:rsid w:val="00F763C5"/>
    <w:rsid w:val="00FD08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E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8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896"/>
  </w:style>
  <w:style w:type="paragraph" w:styleId="Footer">
    <w:name w:val="footer"/>
    <w:basedOn w:val="Normal"/>
    <w:link w:val="FooterChar"/>
    <w:uiPriority w:val="99"/>
    <w:unhideWhenUsed/>
    <w:rsid w:val="00E748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896"/>
  </w:style>
  <w:style w:type="paragraph" w:styleId="BalloonText">
    <w:name w:val="Balloon Text"/>
    <w:basedOn w:val="Normal"/>
    <w:link w:val="BalloonTextChar"/>
    <w:uiPriority w:val="99"/>
    <w:semiHidden/>
    <w:unhideWhenUsed/>
    <w:rsid w:val="005A71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1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3232299">
      <w:bodyDiv w:val="1"/>
      <w:marLeft w:val="0"/>
      <w:marRight w:val="0"/>
      <w:marTop w:val="0"/>
      <w:marBottom w:val="0"/>
      <w:divBdr>
        <w:top w:val="none" w:sz="0" w:space="0" w:color="auto"/>
        <w:left w:val="none" w:sz="0" w:space="0" w:color="auto"/>
        <w:bottom w:val="none" w:sz="0" w:space="0" w:color="auto"/>
        <w:right w:val="none" w:sz="0" w:space="0" w:color="auto"/>
      </w:divBdr>
      <w:divsChild>
        <w:div w:id="1294946194">
          <w:marLeft w:val="0"/>
          <w:marRight w:val="0"/>
          <w:marTop w:val="0"/>
          <w:marBottom w:val="0"/>
          <w:divBdr>
            <w:top w:val="none" w:sz="0" w:space="0" w:color="auto"/>
            <w:left w:val="none" w:sz="0" w:space="0" w:color="auto"/>
            <w:bottom w:val="none" w:sz="0" w:space="0" w:color="auto"/>
            <w:right w:val="none" w:sz="0" w:space="0" w:color="auto"/>
          </w:divBdr>
          <w:divsChild>
            <w:div w:id="1319990946">
              <w:marLeft w:val="0"/>
              <w:marRight w:val="0"/>
              <w:marTop w:val="0"/>
              <w:marBottom w:val="0"/>
              <w:divBdr>
                <w:top w:val="none" w:sz="0" w:space="0" w:color="auto"/>
                <w:left w:val="none" w:sz="0" w:space="0" w:color="auto"/>
                <w:bottom w:val="none" w:sz="0" w:space="0" w:color="auto"/>
                <w:right w:val="none" w:sz="0" w:space="0" w:color="auto"/>
              </w:divBdr>
              <w:divsChild>
                <w:div w:id="290750361">
                  <w:marLeft w:val="0"/>
                  <w:marRight w:val="0"/>
                  <w:marTop w:val="0"/>
                  <w:marBottom w:val="0"/>
                  <w:divBdr>
                    <w:top w:val="none" w:sz="0" w:space="0" w:color="auto"/>
                    <w:left w:val="none" w:sz="0" w:space="0" w:color="auto"/>
                    <w:bottom w:val="none" w:sz="0" w:space="0" w:color="auto"/>
                    <w:right w:val="none" w:sz="0" w:space="0" w:color="auto"/>
                  </w:divBdr>
                  <w:divsChild>
                    <w:div w:id="140811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036060">
          <w:marLeft w:val="0"/>
          <w:marRight w:val="0"/>
          <w:marTop w:val="0"/>
          <w:marBottom w:val="0"/>
          <w:divBdr>
            <w:top w:val="none" w:sz="0" w:space="0" w:color="auto"/>
            <w:left w:val="none" w:sz="0" w:space="0" w:color="auto"/>
            <w:bottom w:val="none" w:sz="0" w:space="0" w:color="auto"/>
            <w:right w:val="none" w:sz="0" w:space="0" w:color="auto"/>
          </w:divBdr>
          <w:divsChild>
            <w:div w:id="1198741486">
              <w:marLeft w:val="0"/>
              <w:marRight w:val="0"/>
              <w:marTop w:val="0"/>
              <w:marBottom w:val="0"/>
              <w:divBdr>
                <w:top w:val="none" w:sz="0" w:space="0" w:color="auto"/>
                <w:left w:val="none" w:sz="0" w:space="0" w:color="auto"/>
                <w:bottom w:val="none" w:sz="0" w:space="0" w:color="auto"/>
                <w:right w:val="none" w:sz="0" w:space="0" w:color="auto"/>
              </w:divBdr>
              <w:divsChild>
                <w:div w:id="1259217214">
                  <w:marLeft w:val="0"/>
                  <w:marRight w:val="0"/>
                  <w:marTop w:val="0"/>
                  <w:marBottom w:val="0"/>
                  <w:divBdr>
                    <w:top w:val="none" w:sz="0" w:space="0" w:color="auto"/>
                    <w:left w:val="none" w:sz="0" w:space="0" w:color="auto"/>
                    <w:bottom w:val="none" w:sz="0" w:space="0" w:color="auto"/>
                    <w:right w:val="none" w:sz="0" w:space="0" w:color="auto"/>
                  </w:divBdr>
                  <w:divsChild>
                    <w:div w:id="74122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2101</Words>
  <Characters>11979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2018-08-03T07:09:00Z</dcterms:created>
  <dcterms:modified xsi:type="dcterms:W3CDTF">2018-08-03T07:09:00Z</dcterms:modified>
</cp:coreProperties>
</file>